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29" w:rsidRPr="008E3A74" w:rsidRDefault="008E3A74" w:rsidP="007A1929">
      <w:pPr>
        <w:pStyle w:val="NormalSpaceAfter"/>
        <w:pBdr>
          <w:top w:val="single" w:sz="4" w:space="1" w:color="auto"/>
          <w:left w:val="single" w:sz="4" w:space="4" w:color="auto"/>
          <w:bottom w:val="single" w:sz="4" w:space="1" w:color="auto"/>
          <w:right w:val="single" w:sz="4" w:space="4" w:color="auto"/>
        </w:pBdr>
        <w:tabs>
          <w:tab w:val="left" w:pos="709"/>
        </w:tabs>
        <w:spacing w:after="420"/>
        <w:ind w:left="709" w:hanging="709"/>
        <w:jc w:val="center"/>
        <w:rPr>
          <w:b/>
          <w:smallCaps/>
        </w:rPr>
      </w:pPr>
      <w:r w:rsidRPr="008E3A74">
        <w:rPr>
          <w:b/>
          <w:smallCaps/>
          <w:highlight w:val="yellow"/>
        </w:rPr>
        <w:t>BY USING THIS LETTER, YOU ARE NOT ENTERING INTO A CLIENT RELATIONSHIP WITH DBA LAWYERS. YOU AGREE THAT YOU TAKE FULL RESPONSIBILITY FOR THIS LETTER’S ACCURACY AND YOU WILL TAILOR IT AS APPROPRIATE TO SUIT YO</w:t>
      </w:r>
      <w:r w:rsidR="009F44BB">
        <w:rPr>
          <w:b/>
          <w:smallCaps/>
          <w:highlight w:val="yellow"/>
        </w:rPr>
        <w:t>UR</w:t>
      </w:r>
      <w:bookmarkStart w:id="0" w:name="_GoBack"/>
      <w:bookmarkEnd w:id="0"/>
      <w:r w:rsidRPr="008E3A74">
        <w:rPr>
          <w:b/>
          <w:smallCaps/>
          <w:highlight w:val="yellow"/>
        </w:rPr>
        <w:t xml:space="preserve"> CLIENTS</w:t>
      </w:r>
    </w:p>
    <w:p w:rsidR="00FA63F4" w:rsidRDefault="00FA63F4" w:rsidP="00FA63F4">
      <w:pPr>
        <w:pStyle w:val="NormalSpaceAfter"/>
        <w:tabs>
          <w:tab w:val="left" w:pos="709"/>
        </w:tabs>
        <w:spacing w:after="420"/>
        <w:ind w:left="709" w:hanging="709"/>
      </w:pPr>
      <w:r w:rsidRPr="00FA63F4">
        <w:t>18 April 2016</w:t>
      </w:r>
    </w:p>
    <w:p w:rsidR="00FA63F4" w:rsidRDefault="00FA63F4" w:rsidP="00FA63F4">
      <w:pPr>
        <w:pStyle w:val="NormalSpaceAfter"/>
        <w:tabs>
          <w:tab w:val="left" w:pos="709"/>
        </w:tabs>
        <w:spacing w:after="420"/>
        <w:ind w:left="709" w:hanging="709"/>
      </w:pPr>
      <w:r>
        <w:t xml:space="preserve">Our ref: </w:t>
      </w:r>
      <w:proofErr w:type="spellStart"/>
      <w:r w:rsidRPr="00FA63F4">
        <w:rPr>
          <w:highlight w:val="yellow"/>
        </w:rPr>
        <w:t>xxxxxxxx</w:t>
      </w:r>
      <w:proofErr w:type="spellEnd"/>
    </w:p>
    <w:p w:rsidR="00FA63F4" w:rsidRDefault="00FA63F4" w:rsidP="00FA63F4">
      <w:pPr>
        <w:pStyle w:val="NormalSpaceAfter"/>
        <w:tabs>
          <w:tab w:val="left" w:pos="709"/>
        </w:tabs>
        <w:spacing w:after="0"/>
        <w:ind w:left="709" w:hanging="709"/>
      </w:pPr>
      <w:r w:rsidRPr="00FA63F4">
        <w:rPr>
          <w:highlight w:val="yellow"/>
        </w:rPr>
        <w:t>Name of client</w:t>
      </w:r>
    </w:p>
    <w:p w:rsidR="00FA63F4" w:rsidRDefault="00FA63F4" w:rsidP="00FA63F4">
      <w:pPr>
        <w:pStyle w:val="NormalSpaceAfter"/>
        <w:tabs>
          <w:tab w:val="left" w:pos="709"/>
        </w:tabs>
        <w:spacing w:after="420"/>
        <w:ind w:left="709" w:hanging="709"/>
      </w:pPr>
      <w:r w:rsidRPr="00FA63F4">
        <w:rPr>
          <w:highlight w:val="yellow"/>
        </w:rPr>
        <w:t>Address of client</w:t>
      </w:r>
    </w:p>
    <w:p w:rsidR="00FA63F4" w:rsidRPr="00FA63F4" w:rsidRDefault="00FA63F4" w:rsidP="00FA63F4">
      <w:pPr>
        <w:pStyle w:val="NormalSpaceAfter"/>
        <w:tabs>
          <w:tab w:val="left" w:pos="709"/>
        </w:tabs>
        <w:spacing w:after="420"/>
        <w:ind w:left="709" w:hanging="709"/>
      </w:pPr>
      <w:r>
        <w:t xml:space="preserve">Dear </w:t>
      </w:r>
      <w:r w:rsidRPr="00FA63F4">
        <w:rPr>
          <w:highlight w:val="yellow"/>
        </w:rPr>
        <w:t>client</w:t>
      </w:r>
    </w:p>
    <w:p w:rsidR="00FA63F4" w:rsidRPr="001C07EC" w:rsidRDefault="00FA63F4" w:rsidP="00FA63F4">
      <w:pPr>
        <w:pStyle w:val="NormalSpaceAfter"/>
        <w:tabs>
          <w:tab w:val="left" w:pos="709"/>
        </w:tabs>
        <w:spacing w:after="420"/>
        <w:ind w:left="709" w:hanging="709"/>
        <w:rPr>
          <w:b/>
        </w:rPr>
      </w:pPr>
      <w:r w:rsidRPr="001C07EC">
        <w:rPr>
          <w:b/>
        </w:rPr>
        <w:t>Re:</w:t>
      </w:r>
      <w:r w:rsidRPr="001C07EC">
        <w:rPr>
          <w:b/>
        </w:rPr>
        <w:tab/>
      </w:r>
      <w:r>
        <w:rPr>
          <w:b/>
        </w:rPr>
        <w:t>N</w:t>
      </w:r>
      <w:r w:rsidRPr="004602EC">
        <w:rPr>
          <w:b/>
        </w:rPr>
        <w:t xml:space="preserve">on-arm’s length income </w:t>
      </w:r>
      <w:r>
        <w:rPr>
          <w:b/>
        </w:rPr>
        <w:t xml:space="preserve">and </w:t>
      </w:r>
      <w:r w:rsidRPr="004602EC">
        <w:rPr>
          <w:b/>
        </w:rPr>
        <w:t>related party</w:t>
      </w:r>
      <w:r>
        <w:rPr>
          <w:b/>
        </w:rPr>
        <w:t xml:space="preserve"> SMSF </w:t>
      </w:r>
      <w:r w:rsidRPr="004602EC">
        <w:rPr>
          <w:b/>
        </w:rPr>
        <w:t>limited recourse borrowing arrangement</w:t>
      </w:r>
      <w:r>
        <w:rPr>
          <w:b/>
        </w:rPr>
        <w:t>s</w:t>
      </w:r>
    </w:p>
    <w:p w:rsidR="007A1929" w:rsidRDefault="00FA63F4" w:rsidP="00FA63F4">
      <w:pPr>
        <w:pStyle w:val="NormalSpaceAfter"/>
      </w:pPr>
      <w:r>
        <w:t xml:space="preserve">We </w:t>
      </w:r>
      <w:r w:rsidR="005E367C">
        <w:t xml:space="preserve">refer to your </w:t>
      </w:r>
      <w:r w:rsidR="008D1BBC">
        <w:t xml:space="preserve">SMSF </w:t>
      </w:r>
      <w:r w:rsidR="005E367C" w:rsidRPr="005E367C">
        <w:t>limited recourse borrowing arrangement</w:t>
      </w:r>
      <w:r w:rsidR="005E367C">
        <w:t xml:space="preserve"> </w:t>
      </w:r>
      <w:r w:rsidR="00072154">
        <w:t xml:space="preserve">(‘LRBA’) </w:t>
      </w:r>
      <w:r w:rsidR="005E367C">
        <w:t>where the lender might not be at arm’s length.</w:t>
      </w:r>
      <w:r w:rsidR="007D369B">
        <w:t xml:space="preserve"> Urgent action is required.</w:t>
      </w:r>
      <w:r w:rsidR="00072154">
        <w:t xml:space="preserve"> Please contact our office immediately to discuss the following information.</w:t>
      </w:r>
    </w:p>
    <w:p w:rsidR="007A1929" w:rsidRDefault="007A1929" w:rsidP="007A1929">
      <w:pPr>
        <w:pStyle w:val="LegalHeadings1"/>
        <w:numPr>
          <w:ilvl w:val="0"/>
          <w:numId w:val="6"/>
        </w:numPr>
        <w:outlineLvl w:val="9"/>
      </w:pPr>
      <w:r>
        <w:t>Executive summary</w:t>
      </w:r>
    </w:p>
    <w:p w:rsidR="007A1929" w:rsidRDefault="007A1929" w:rsidP="007A1929">
      <w:pPr>
        <w:pStyle w:val="NormalSpaceAfter"/>
      </w:pPr>
      <w:r>
        <w:t>A</w:t>
      </w:r>
      <w:r w:rsidRPr="007A1929">
        <w:t xml:space="preserve">ction might be required before 1 July 2016 and failure to do so might cause </w:t>
      </w:r>
      <w:r w:rsidR="00B33B91">
        <w:t xml:space="preserve">a </w:t>
      </w:r>
      <w:r w:rsidRPr="007A1929">
        <w:t>significant tax</w:t>
      </w:r>
      <w:r w:rsidR="00B33B91">
        <w:t xml:space="preserve"> bill.</w:t>
      </w:r>
      <w:r>
        <w:t xml:space="preserve"> A</w:t>
      </w:r>
      <w:r w:rsidRPr="007A1929">
        <w:t>s soon as possible</w:t>
      </w:r>
      <w:r>
        <w:t xml:space="preserve"> you should:</w:t>
      </w:r>
    </w:p>
    <w:p w:rsidR="00072154" w:rsidRDefault="00072154" w:rsidP="007A1929">
      <w:pPr>
        <w:pStyle w:val="Bullet1"/>
      </w:pPr>
      <w:r>
        <w:t>contact our office to discuss this letter;</w:t>
      </w:r>
    </w:p>
    <w:p w:rsidR="007A1929" w:rsidRDefault="007A1929" w:rsidP="007A1929">
      <w:pPr>
        <w:pStyle w:val="Bullet1"/>
      </w:pPr>
      <w:r>
        <w:t xml:space="preserve">review the </w:t>
      </w:r>
      <w:r w:rsidR="00E40DBA">
        <w:t xml:space="preserve">existing </w:t>
      </w:r>
      <w:r>
        <w:t xml:space="preserve">terms of </w:t>
      </w:r>
      <w:r w:rsidR="00072154">
        <w:t xml:space="preserve">your SMSF </w:t>
      </w:r>
      <w:r w:rsidR="00693688">
        <w:t>LRBA</w:t>
      </w:r>
      <w:r>
        <w:t>;</w:t>
      </w:r>
    </w:p>
    <w:p w:rsidR="007A1929" w:rsidRDefault="007A1929" w:rsidP="007A1929">
      <w:pPr>
        <w:pStyle w:val="Bullet1"/>
      </w:pPr>
      <w:r>
        <w:t xml:space="preserve">determine if </w:t>
      </w:r>
      <w:r w:rsidR="00E40DBA">
        <w:t xml:space="preserve">the existing terms </w:t>
      </w:r>
      <w:r>
        <w:t xml:space="preserve">are within the new ATO safe harbours </w:t>
      </w:r>
      <w:r w:rsidR="00380FEA">
        <w:t>discussed below</w:t>
      </w:r>
      <w:r>
        <w:t>; and</w:t>
      </w:r>
    </w:p>
    <w:p w:rsidR="007A1929" w:rsidRDefault="00E40DBA" w:rsidP="007A1929">
      <w:pPr>
        <w:pStyle w:val="Bullet1"/>
      </w:pPr>
      <w:r>
        <w:t>if the</w:t>
      </w:r>
      <w:r w:rsidRPr="00E40DBA">
        <w:t xml:space="preserve"> </w:t>
      </w:r>
      <w:r>
        <w:t>existing terms</w:t>
      </w:r>
      <w:r w:rsidR="007A1929">
        <w:t xml:space="preserve"> are not in the safe harbours, </w:t>
      </w:r>
      <w:r w:rsidR="00B21A62">
        <w:t xml:space="preserve">select </w:t>
      </w:r>
      <w:r w:rsidR="00B33B91">
        <w:t>one of the</w:t>
      </w:r>
      <w:r w:rsidR="00B21A62">
        <w:t xml:space="preserve"> following option</w:t>
      </w:r>
      <w:r w:rsidR="00B33B91">
        <w:t>s</w:t>
      </w:r>
      <w:r w:rsidR="007A1929">
        <w:t>:</w:t>
      </w:r>
    </w:p>
    <w:p w:rsidR="007A1929" w:rsidRDefault="007A1929" w:rsidP="007A1929">
      <w:pPr>
        <w:pStyle w:val="Bullet1"/>
        <w:tabs>
          <w:tab w:val="clear" w:pos="567"/>
          <w:tab w:val="num" w:pos="1134"/>
        </w:tabs>
        <w:ind w:left="1134"/>
      </w:pPr>
      <w:r>
        <w:rPr>
          <w:b/>
        </w:rPr>
        <w:t xml:space="preserve">OPTION 1: </w:t>
      </w:r>
      <w:r w:rsidRPr="007A1929">
        <w:t xml:space="preserve">alter the </w:t>
      </w:r>
      <w:r w:rsidR="00B21A62">
        <w:t>existing terms</w:t>
      </w:r>
      <w:r w:rsidRPr="007A1929">
        <w:t xml:space="preserve"> before 1 July </w:t>
      </w:r>
      <w:r>
        <w:t>2016 so that they are in the safe harbours;</w:t>
      </w:r>
    </w:p>
    <w:p w:rsidR="007A1929" w:rsidRDefault="007A1929" w:rsidP="007A1929">
      <w:pPr>
        <w:pStyle w:val="Bullet1"/>
        <w:tabs>
          <w:tab w:val="clear" w:pos="567"/>
          <w:tab w:val="num" w:pos="1134"/>
        </w:tabs>
        <w:ind w:left="1134"/>
      </w:pPr>
      <w:r>
        <w:rPr>
          <w:b/>
        </w:rPr>
        <w:t>OPTION 2:</w:t>
      </w:r>
      <w:r>
        <w:t xml:space="preserve"> terminate the </w:t>
      </w:r>
      <w:r w:rsidR="00EB1E86">
        <w:t>LRBA</w:t>
      </w:r>
      <w:r w:rsidRPr="007A1929">
        <w:t xml:space="preserve"> before 1 July </w:t>
      </w:r>
      <w:r>
        <w:t>2016;</w:t>
      </w:r>
    </w:p>
    <w:p w:rsidR="007A1929" w:rsidRDefault="007A1929" w:rsidP="00B21A62">
      <w:pPr>
        <w:pStyle w:val="Bullet1"/>
        <w:tabs>
          <w:tab w:val="clear" w:pos="567"/>
          <w:tab w:val="num" w:pos="1134"/>
        </w:tabs>
        <w:ind w:left="1134"/>
      </w:pPr>
      <w:r>
        <w:rPr>
          <w:b/>
        </w:rPr>
        <w:t xml:space="preserve">OPTION 4: </w:t>
      </w:r>
      <w:r w:rsidRPr="007A1929">
        <w:t>document</w:t>
      </w:r>
      <w:r>
        <w:t xml:space="preserve"> and retain evidence </w:t>
      </w:r>
      <w:r w:rsidR="00B21A62">
        <w:t>so that you can d</w:t>
      </w:r>
      <w:r w:rsidR="00B21A62" w:rsidRPr="00B21A62">
        <w:t xml:space="preserve">emonstrate that the </w:t>
      </w:r>
      <w:r w:rsidR="000630E0">
        <w:t>LRBA</w:t>
      </w:r>
      <w:r w:rsidR="00B21A62" w:rsidRPr="00B21A62">
        <w:t xml:space="preserve"> was entered into and maintained on terms consistent with an arm</w:t>
      </w:r>
      <w:r w:rsidR="0011290D">
        <w:t>’</w:t>
      </w:r>
      <w:r w:rsidR="00B21A62" w:rsidRPr="00B21A62">
        <w:t>s length dealing</w:t>
      </w:r>
      <w:r w:rsidR="001B4F84">
        <w:t>;</w:t>
      </w:r>
    </w:p>
    <w:p w:rsidR="001B4F84" w:rsidRDefault="001B4F84" w:rsidP="009D071D">
      <w:pPr>
        <w:pStyle w:val="Bullet1"/>
        <w:tabs>
          <w:tab w:val="clear" w:pos="567"/>
          <w:tab w:val="num" w:pos="1134"/>
        </w:tabs>
        <w:ind w:left="1134"/>
      </w:pPr>
      <w:r w:rsidRPr="001B4F84">
        <w:rPr>
          <w:b/>
        </w:rPr>
        <w:t xml:space="preserve">OPTION 3: </w:t>
      </w:r>
      <w:r w:rsidRPr="007A1929">
        <w:t>re-finance</w:t>
      </w:r>
      <w:r>
        <w:t xml:space="preserve"> with a bank or other arm’s length lender before 1 July 2016; or</w:t>
      </w:r>
    </w:p>
    <w:p w:rsidR="007A1929" w:rsidRPr="007A1929" w:rsidRDefault="007A1929" w:rsidP="00A80ADA">
      <w:pPr>
        <w:pStyle w:val="Bullet1"/>
        <w:tabs>
          <w:tab w:val="clear" w:pos="567"/>
          <w:tab w:val="num" w:pos="1134"/>
        </w:tabs>
        <w:ind w:left="1134"/>
        <w:rPr>
          <w:b/>
        </w:rPr>
      </w:pPr>
      <w:r w:rsidRPr="007A1929">
        <w:rPr>
          <w:b/>
        </w:rPr>
        <w:t xml:space="preserve">OPTION 5: </w:t>
      </w:r>
      <w:r w:rsidR="0011290D">
        <w:t>instruct us to a</w:t>
      </w:r>
      <w:r w:rsidRPr="007A1929">
        <w:t>pproach the ATO</w:t>
      </w:r>
      <w:r w:rsidR="0011290D">
        <w:t xml:space="preserve"> on your behalf</w:t>
      </w:r>
      <w:r w:rsidR="00A80ADA">
        <w:t xml:space="preserve"> </w:t>
      </w:r>
      <w:bookmarkStart w:id="1" w:name="OLE_LINK1"/>
      <w:r w:rsidR="00A80ADA" w:rsidRPr="00A80ADA">
        <w:t>as soon as possible</w:t>
      </w:r>
      <w:bookmarkEnd w:id="1"/>
      <w:r>
        <w:t>.</w:t>
      </w:r>
    </w:p>
    <w:p w:rsidR="00FA63F4" w:rsidRDefault="00FA63F4" w:rsidP="00FA63F4">
      <w:pPr>
        <w:pStyle w:val="LegalHeadings1"/>
        <w:numPr>
          <w:ilvl w:val="0"/>
          <w:numId w:val="6"/>
        </w:numPr>
        <w:outlineLvl w:val="9"/>
      </w:pPr>
      <w:r>
        <w:t xml:space="preserve">Background information </w:t>
      </w:r>
    </w:p>
    <w:p w:rsidR="00FA63F4" w:rsidRDefault="00B21A62" w:rsidP="00FA63F4">
      <w:pPr>
        <w:pStyle w:val="NormalSpaceAfter"/>
      </w:pPr>
      <w:r>
        <w:t>In</w:t>
      </w:r>
      <w:r w:rsidR="00FA63F4">
        <w:t> December 2015, the ATO released certain relevant commentary on their website, which we extract as follows (</w:t>
      </w:r>
      <w:hyperlink r:id="rId7" w:history="1">
        <w:r w:rsidR="00FA63F4" w:rsidRPr="00A208FD">
          <w:rPr>
            <w:rStyle w:val="Hyperlink"/>
          </w:rPr>
          <w:t>https://www.ato.gov.au/Super/Self-managed-super-funds/In-detail/News/Non-arm-s-length-limited-recourse-borrowing-arrangements/#</w:t>
        </w:r>
      </w:hyperlink>
      <w:r w:rsidR="00FA63F4">
        <w:t>):</w:t>
      </w:r>
    </w:p>
    <w:p w:rsidR="00FA63F4" w:rsidRPr="00C4253D" w:rsidRDefault="00FA63F4" w:rsidP="007F5D99">
      <w:pPr>
        <w:pStyle w:val="Quote"/>
        <w:keepNext/>
        <w:rPr>
          <w:i/>
        </w:rPr>
      </w:pPr>
      <w:r w:rsidRPr="00C4253D">
        <w:rPr>
          <w:i/>
        </w:rPr>
        <w:t>NON ARM'S LENGTH LIMITED RECOURSE BORROWING ARRANGEMENTS</w:t>
      </w:r>
    </w:p>
    <w:p w:rsidR="00FA63F4" w:rsidRDefault="0005724D" w:rsidP="00FA63F4">
      <w:pPr>
        <w:pStyle w:val="Quote"/>
      </w:pPr>
      <w:r>
        <w:t xml:space="preserve">… </w:t>
      </w:r>
      <w:proofErr w:type="gramStart"/>
      <w:r w:rsidR="00FA63F4">
        <w:t>the</w:t>
      </w:r>
      <w:proofErr w:type="gramEnd"/>
      <w:r w:rsidR="00FA63F4">
        <w:t xml:space="preserve"> </w:t>
      </w:r>
      <w:proofErr w:type="spellStart"/>
      <w:r w:rsidR="00FA63F4">
        <w:t>non arm’s</w:t>
      </w:r>
      <w:proofErr w:type="spellEnd"/>
      <w:r w:rsidR="00FA63F4">
        <w:t xml:space="preserve"> length income (NALI) provisions can apply when an SMSF trustee undertakes </w:t>
      </w:r>
      <w:r w:rsidR="008C08BF">
        <w:t xml:space="preserve">.. </w:t>
      </w:r>
      <w:r w:rsidR="00FA63F4">
        <w:t>LRBAs</w:t>
      </w:r>
      <w:r w:rsidR="008C08BF">
        <w:t xml:space="preserve"> …</w:t>
      </w:r>
      <w:r w:rsidR="00FA63F4">
        <w:t xml:space="preserve"> established or maintained on terms that are not consistent with an arm’s length dealing </w:t>
      </w:r>
      <w:r w:rsidR="00C82E91">
        <w:t xml:space="preserve">… </w:t>
      </w:r>
      <w:r w:rsidR="00FA63F4">
        <w:t>NALI is currently taxed at 47%.</w:t>
      </w:r>
    </w:p>
    <w:p w:rsidR="00FA63F4" w:rsidRDefault="00FA63F4" w:rsidP="00FA63F4">
      <w:pPr>
        <w:pStyle w:val="Quote"/>
      </w:pPr>
      <w:r>
        <w:t>…</w:t>
      </w:r>
    </w:p>
    <w:p w:rsidR="00FA63F4" w:rsidRPr="007416D8" w:rsidRDefault="00FA63F4" w:rsidP="00FA63F4">
      <w:pPr>
        <w:pStyle w:val="Quote"/>
        <w:rPr>
          <w:i/>
        </w:rPr>
      </w:pPr>
      <w:r w:rsidRPr="007416D8">
        <w:rPr>
          <w:i/>
        </w:rPr>
        <w:lastRenderedPageBreak/>
        <w:t>What you should do by 30 June 2016</w:t>
      </w:r>
    </w:p>
    <w:p w:rsidR="00FA63F4" w:rsidRDefault="00FA63F4" w:rsidP="00FA63F4">
      <w:pPr>
        <w:pStyle w:val="Quote"/>
      </w:pPr>
      <w:r>
        <w:t>SMSF trustees should review any LRBA you have to determine whether it was established and maintained on terms that are consistent with an arm’s length dealing. If this is not the case, we strongly encourage you to take steps to ensure that it is on terms consistent with an arm’s length dealing by 30 June 2016 or to bring the LRBA to an end by that date. You may wish to seek professional advice if you are unsure.</w:t>
      </w:r>
    </w:p>
    <w:p w:rsidR="00FA63F4" w:rsidRPr="007416D8" w:rsidRDefault="00FA63F4" w:rsidP="00FA63F4">
      <w:pPr>
        <w:pStyle w:val="Quote"/>
        <w:rPr>
          <w:i/>
        </w:rPr>
      </w:pPr>
      <w:r w:rsidRPr="007416D8">
        <w:rPr>
          <w:i/>
        </w:rPr>
        <w:t>What we will do</w:t>
      </w:r>
    </w:p>
    <w:p w:rsidR="00FA63F4" w:rsidRDefault="00C82E91" w:rsidP="00FA63F4">
      <w:pPr>
        <w:pStyle w:val="Quote"/>
      </w:pPr>
      <w:r>
        <w:t xml:space="preserve">… </w:t>
      </w:r>
      <w:proofErr w:type="gramStart"/>
      <w:r w:rsidR="00FA63F4">
        <w:t>we</w:t>
      </w:r>
      <w:proofErr w:type="gramEnd"/>
      <w:r w:rsidR="00FA63F4">
        <w:t xml:space="preserve"> will not be selecting an SMSF for review for the 2014–15 year or earlier years purely because the fund has entered into an LRBA.</w:t>
      </w:r>
    </w:p>
    <w:p w:rsidR="00FA63F4" w:rsidRDefault="00FA63F4" w:rsidP="00FA63F4">
      <w:pPr>
        <w:pStyle w:val="Quote"/>
      </w:pPr>
      <w:r>
        <w:t>The Commissioner may allocate compliance resources to review an LRBA of an SMSF for the 2015–16 year or later years.</w:t>
      </w:r>
    </w:p>
    <w:p w:rsidR="00FA63F4" w:rsidRPr="007416D8" w:rsidRDefault="00FA63F4" w:rsidP="00FA63F4">
      <w:pPr>
        <w:pStyle w:val="Quote"/>
      </w:pPr>
      <w:r>
        <w:t>We strongly encourage all SMSF trustees to take the actions suggested above in relation to your existing LRBAs before 30 June 2016. You should ensure that any new LRBAs you enter into are established and maintained on terms consistent with an arm’s length dealing.</w:t>
      </w:r>
    </w:p>
    <w:p w:rsidR="00B21A62" w:rsidRDefault="00B21A62" w:rsidP="00B21A62">
      <w:pPr>
        <w:pStyle w:val="LegalHeadings1"/>
        <w:numPr>
          <w:ilvl w:val="0"/>
          <w:numId w:val="6"/>
        </w:numPr>
        <w:outlineLvl w:val="9"/>
      </w:pPr>
      <w:bookmarkStart w:id="2" w:name="OLE_LINK9"/>
      <w:r>
        <w:t xml:space="preserve">safe harbours </w:t>
      </w:r>
    </w:p>
    <w:p w:rsidR="00B21A62" w:rsidRDefault="00B21A62" w:rsidP="00B21A62">
      <w:pPr>
        <w:pStyle w:val="NormalSpaceAfter"/>
      </w:pPr>
      <w:r>
        <w:t>In April 2016, the ATO released a</w:t>
      </w:r>
      <w:r w:rsidRPr="00B21A62">
        <w:t xml:space="preserve"> </w:t>
      </w:r>
      <w:r>
        <w:t>g</w:t>
      </w:r>
      <w:r w:rsidRPr="00B21A62">
        <w:t xml:space="preserve">uideline </w:t>
      </w:r>
      <w:r>
        <w:t xml:space="preserve">that </w:t>
      </w:r>
      <w:r w:rsidRPr="00B21A62">
        <w:t xml:space="preserve">sets out the 'safe harbour' terms. </w:t>
      </w:r>
      <w:r>
        <w:t xml:space="preserve">If those terms are used, </w:t>
      </w:r>
      <w:r w:rsidRPr="00B21A62">
        <w:t xml:space="preserve">the </w:t>
      </w:r>
      <w:r>
        <w:t>ATO says it will accept</w:t>
      </w:r>
      <w:r w:rsidRPr="00B21A62">
        <w:t xml:space="preserve"> that </w:t>
      </w:r>
      <w:r>
        <w:t xml:space="preserve">the LRBA </w:t>
      </w:r>
      <w:r w:rsidRPr="00B21A62">
        <w:t>is consistent with an arm's length dealing and that the NALI provisions do not apply purely because of the terms of the borrowing arrangement.</w:t>
      </w:r>
    </w:p>
    <w:p w:rsidR="00B21A62" w:rsidRDefault="004613F9" w:rsidP="00B21A62">
      <w:pPr>
        <w:pStyle w:val="NormalSpaceAfter"/>
      </w:pPr>
      <w:r>
        <w:t>You should read t</w:t>
      </w:r>
      <w:r w:rsidR="00C01084">
        <w:t xml:space="preserve">he full text of the safe harbours </w:t>
      </w:r>
      <w:r>
        <w:t xml:space="preserve">it in its entirety. The full text is available at </w:t>
      </w:r>
      <w:bookmarkStart w:id="3" w:name="OLE_LINK2"/>
      <w:bookmarkStart w:id="4" w:name="OLE_LINK3"/>
      <w:r w:rsidR="00C01084">
        <w:fldChar w:fldCharType="begin"/>
      </w:r>
      <w:r w:rsidR="00C01084">
        <w:instrText xml:space="preserve"> HYPERLINK "</w:instrText>
      </w:r>
      <w:r w:rsidR="00C01084" w:rsidRPr="00C01084">
        <w:instrText>https://www.ato.gov.au/law/view.htm?DocID=COG/PCG20165/NAT/ATO/00001</w:instrText>
      </w:r>
      <w:r w:rsidR="00C01084">
        <w:instrText xml:space="preserve">" </w:instrText>
      </w:r>
      <w:r w:rsidR="00C01084">
        <w:fldChar w:fldCharType="separate"/>
      </w:r>
      <w:r w:rsidR="00C01084" w:rsidRPr="00D16FB8">
        <w:rPr>
          <w:rStyle w:val="Hyperlink"/>
        </w:rPr>
        <w:t>https://www.ato.gov.au/law/view.htm?DocID=COG/PCG20165/NAT/ATO/00001</w:t>
      </w:r>
      <w:r w:rsidR="00C01084">
        <w:fldChar w:fldCharType="end"/>
      </w:r>
      <w:bookmarkEnd w:id="3"/>
      <w:bookmarkEnd w:id="4"/>
      <w:r w:rsidR="00C01084">
        <w:t xml:space="preserve"> However, as an introduction, we provide the following summary table: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315"/>
        <w:gridCol w:w="3664"/>
      </w:tblGrid>
      <w:tr w:rsidR="00C01084" w:rsidRPr="00B026D1" w:rsidTr="00C01084">
        <w:trPr>
          <w:trHeight w:val="300"/>
          <w:tblHeader/>
          <w:jc w:val="center"/>
        </w:trPr>
        <w:tc>
          <w:tcPr>
            <w:tcW w:w="1381" w:type="dxa"/>
            <w:shd w:val="clear" w:color="auto" w:fill="auto"/>
            <w:noWrap/>
            <w:vAlign w:val="center"/>
            <w:hideMark/>
          </w:tcPr>
          <w:p w:rsidR="00C01084" w:rsidRPr="00B026D1" w:rsidRDefault="00C01084" w:rsidP="005621C7">
            <w:pPr>
              <w:spacing w:before="120" w:after="120"/>
              <w:jc w:val="center"/>
              <w:rPr>
                <w:rFonts w:cs="Arial"/>
                <w:b/>
                <w:color w:val="000000"/>
                <w:sz w:val="18"/>
                <w:szCs w:val="18"/>
                <w:lang w:eastAsia="en-AU"/>
              </w:rPr>
            </w:pPr>
            <w:r w:rsidRPr="00B026D1">
              <w:rPr>
                <w:rFonts w:cs="Arial"/>
                <w:b/>
                <w:color w:val="000000"/>
                <w:sz w:val="18"/>
                <w:szCs w:val="18"/>
                <w:lang w:eastAsia="en-AU"/>
              </w:rPr>
              <w:t>TYPE OF ASSET BEING ACQUIRED</w:t>
            </w:r>
          </w:p>
        </w:tc>
        <w:tc>
          <w:tcPr>
            <w:tcW w:w="4315" w:type="dxa"/>
            <w:shd w:val="clear" w:color="auto" w:fill="auto"/>
            <w:noWrap/>
            <w:vAlign w:val="center"/>
            <w:hideMark/>
          </w:tcPr>
          <w:p w:rsidR="00C01084" w:rsidRPr="00B026D1" w:rsidRDefault="00C01084" w:rsidP="005621C7">
            <w:pPr>
              <w:spacing w:before="120" w:after="120"/>
              <w:jc w:val="center"/>
              <w:rPr>
                <w:rFonts w:cs="Arial"/>
                <w:b/>
                <w:color w:val="000000"/>
                <w:sz w:val="18"/>
                <w:szCs w:val="18"/>
                <w:lang w:eastAsia="en-AU"/>
              </w:rPr>
            </w:pPr>
            <w:r w:rsidRPr="00B026D1">
              <w:rPr>
                <w:rFonts w:cs="Arial"/>
                <w:b/>
                <w:color w:val="000000"/>
                <w:sz w:val="18"/>
                <w:szCs w:val="18"/>
                <w:lang w:eastAsia="en-AU"/>
              </w:rPr>
              <w:t>REAL PROPERTY (ANY KIND)</w:t>
            </w:r>
          </w:p>
        </w:tc>
        <w:tc>
          <w:tcPr>
            <w:tcW w:w="3664" w:type="dxa"/>
            <w:shd w:val="clear" w:color="auto" w:fill="auto"/>
            <w:noWrap/>
            <w:vAlign w:val="center"/>
            <w:hideMark/>
          </w:tcPr>
          <w:p w:rsidR="00C01084" w:rsidRPr="00B026D1" w:rsidRDefault="00B026D1" w:rsidP="005621C7">
            <w:pPr>
              <w:spacing w:before="120" w:after="120"/>
              <w:jc w:val="center"/>
              <w:rPr>
                <w:rFonts w:cs="Arial"/>
                <w:b/>
                <w:color w:val="000000"/>
                <w:sz w:val="18"/>
                <w:szCs w:val="18"/>
                <w:lang w:eastAsia="en-AU"/>
              </w:rPr>
            </w:pPr>
            <w:r w:rsidRPr="00B026D1">
              <w:rPr>
                <w:rFonts w:cs="Arial"/>
                <w:b/>
                <w:color w:val="000000"/>
                <w:sz w:val="18"/>
                <w:szCs w:val="18"/>
                <w:lang w:eastAsia="en-AU"/>
              </w:rPr>
              <w:t>STOCK EXCHANGE LISTED SHARES OR UNITS</w:t>
            </w:r>
          </w:p>
        </w:tc>
      </w:tr>
      <w:tr w:rsidR="00C01084" w:rsidRPr="00B026D1" w:rsidTr="00C01084">
        <w:trPr>
          <w:trHeight w:val="300"/>
          <w:jc w:val="center"/>
        </w:trPr>
        <w:tc>
          <w:tcPr>
            <w:tcW w:w="1381" w:type="dxa"/>
            <w:shd w:val="clear" w:color="auto" w:fill="auto"/>
            <w:noWrap/>
            <w:vAlign w:val="center"/>
            <w:hideMark/>
          </w:tcPr>
          <w:p w:rsidR="00C01084" w:rsidRPr="00B026D1" w:rsidRDefault="00C01084" w:rsidP="005621C7">
            <w:pPr>
              <w:spacing w:before="120" w:after="120"/>
              <w:jc w:val="center"/>
              <w:rPr>
                <w:rFonts w:cs="Arial"/>
                <w:b/>
                <w:color w:val="000000"/>
                <w:sz w:val="18"/>
                <w:szCs w:val="18"/>
                <w:lang w:eastAsia="en-AU"/>
              </w:rPr>
            </w:pPr>
            <w:r w:rsidRPr="00B026D1">
              <w:rPr>
                <w:rFonts w:cs="Arial"/>
                <w:b/>
                <w:color w:val="000000"/>
                <w:sz w:val="18"/>
                <w:szCs w:val="18"/>
                <w:lang w:eastAsia="en-AU"/>
              </w:rPr>
              <w:t>INTEREST RATE</w:t>
            </w:r>
          </w:p>
        </w:tc>
        <w:tc>
          <w:tcPr>
            <w:tcW w:w="4315" w:type="dxa"/>
            <w:shd w:val="clear" w:color="auto" w:fill="auto"/>
            <w:noWrap/>
            <w:vAlign w:val="center"/>
            <w:hideMark/>
          </w:tcPr>
          <w:p w:rsidR="00B026D1" w:rsidRPr="00B026D1" w:rsidRDefault="00B026D1" w:rsidP="005621C7">
            <w:pPr>
              <w:spacing w:before="120" w:after="120"/>
              <w:rPr>
                <w:rFonts w:cs="Arial"/>
                <w:color w:val="000000"/>
                <w:sz w:val="18"/>
                <w:szCs w:val="18"/>
                <w:lang w:eastAsia="en-AU"/>
              </w:rPr>
            </w:pPr>
            <w:r w:rsidRPr="00B026D1">
              <w:rPr>
                <w:rFonts w:cs="Arial"/>
                <w:color w:val="000000"/>
                <w:sz w:val="18"/>
                <w:szCs w:val="18"/>
                <w:lang w:eastAsia="en-AU"/>
              </w:rPr>
              <w:t>Reserve Bank of Australia Indicator Lending Rates for banks providing standard variable housing loans for investors. Applicable rates:</w:t>
            </w:r>
          </w:p>
          <w:p w:rsidR="00B026D1" w:rsidRPr="00B026D1" w:rsidRDefault="00B026D1" w:rsidP="005621C7">
            <w:pPr>
              <w:pStyle w:val="ListBullet"/>
              <w:spacing w:before="120" w:after="120"/>
              <w:contextualSpacing w:val="0"/>
              <w:rPr>
                <w:rFonts w:cs="Arial"/>
                <w:color w:val="000000"/>
                <w:sz w:val="18"/>
                <w:szCs w:val="18"/>
                <w:lang w:eastAsia="en-AU"/>
              </w:rPr>
            </w:pPr>
            <w:r w:rsidRPr="00B026D1">
              <w:rPr>
                <w:sz w:val="18"/>
                <w:szCs w:val="18"/>
                <w:lang w:eastAsia="en-AU"/>
              </w:rPr>
              <w:t>For the 2015–16 year, the rate is 5.75%</w:t>
            </w:r>
          </w:p>
          <w:p w:rsidR="00C01084" w:rsidRPr="00B026D1" w:rsidRDefault="00B026D1" w:rsidP="005621C7">
            <w:pPr>
              <w:pStyle w:val="ListBullet"/>
              <w:spacing w:before="120" w:after="120"/>
              <w:contextualSpacing w:val="0"/>
              <w:rPr>
                <w:rFonts w:cs="Arial"/>
                <w:color w:val="000000"/>
                <w:sz w:val="18"/>
                <w:szCs w:val="18"/>
                <w:lang w:eastAsia="en-AU"/>
              </w:rPr>
            </w:pPr>
            <w:r w:rsidRPr="00B026D1">
              <w:rPr>
                <w:rFonts w:cs="Arial"/>
                <w:color w:val="000000"/>
                <w:sz w:val="18"/>
                <w:szCs w:val="18"/>
                <w:lang w:eastAsia="en-AU"/>
              </w:rPr>
              <w:t>For the 2016–17 and later years, the rate published for May (the rate for the month of May immediately prior to the start of the relevant financial year)</w:t>
            </w:r>
          </w:p>
        </w:tc>
        <w:tc>
          <w:tcPr>
            <w:tcW w:w="3664"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Same as real property + 2%</w:t>
            </w:r>
          </w:p>
        </w:tc>
      </w:tr>
      <w:tr w:rsidR="00C01084" w:rsidRPr="00B026D1" w:rsidTr="00C01084">
        <w:trPr>
          <w:trHeight w:val="300"/>
          <w:jc w:val="center"/>
        </w:trPr>
        <w:tc>
          <w:tcPr>
            <w:tcW w:w="1381" w:type="dxa"/>
            <w:shd w:val="clear" w:color="auto" w:fill="auto"/>
            <w:noWrap/>
            <w:vAlign w:val="center"/>
            <w:hideMark/>
          </w:tcPr>
          <w:p w:rsidR="00C01084" w:rsidRPr="00B026D1" w:rsidRDefault="00C01084" w:rsidP="005621C7">
            <w:pPr>
              <w:spacing w:before="120" w:after="120"/>
              <w:jc w:val="center"/>
              <w:rPr>
                <w:rFonts w:cs="Arial"/>
                <w:b/>
                <w:color w:val="000000"/>
                <w:sz w:val="18"/>
                <w:szCs w:val="18"/>
                <w:lang w:eastAsia="en-AU"/>
              </w:rPr>
            </w:pPr>
            <w:r w:rsidRPr="00B026D1">
              <w:rPr>
                <w:rFonts w:cs="Arial"/>
                <w:b/>
                <w:color w:val="000000"/>
                <w:sz w:val="18"/>
                <w:szCs w:val="18"/>
                <w:lang w:eastAsia="en-AU"/>
              </w:rPr>
              <w:t>TERM OF LOAN</w:t>
            </w:r>
          </w:p>
        </w:tc>
        <w:tc>
          <w:tcPr>
            <w:tcW w:w="4315"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15 years for original loan (any refinancing will be reduced by duration of the previous loan(s))</w:t>
            </w:r>
          </w:p>
        </w:tc>
        <w:tc>
          <w:tcPr>
            <w:tcW w:w="3664"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7 years for original loan (any refinancing will be reduced by duration of the previous loan(s))</w:t>
            </w:r>
          </w:p>
        </w:tc>
      </w:tr>
      <w:tr w:rsidR="00C01084" w:rsidRPr="00B026D1" w:rsidTr="00C01084">
        <w:trPr>
          <w:trHeight w:val="300"/>
          <w:jc w:val="center"/>
        </w:trPr>
        <w:tc>
          <w:tcPr>
            <w:tcW w:w="1381" w:type="dxa"/>
            <w:shd w:val="clear" w:color="auto" w:fill="auto"/>
            <w:noWrap/>
            <w:vAlign w:val="center"/>
            <w:hideMark/>
          </w:tcPr>
          <w:p w:rsidR="00C01084" w:rsidRPr="00B026D1" w:rsidRDefault="00C01084" w:rsidP="005621C7">
            <w:pPr>
              <w:spacing w:before="120" w:after="120"/>
              <w:jc w:val="center"/>
              <w:rPr>
                <w:rFonts w:cs="Arial"/>
                <w:b/>
                <w:color w:val="000000"/>
                <w:sz w:val="18"/>
                <w:szCs w:val="18"/>
                <w:lang w:eastAsia="en-AU"/>
              </w:rPr>
            </w:pPr>
            <w:r w:rsidRPr="00B026D1">
              <w:rPr>
                <w:rFonts w:cs="Arial"/>
                <w:b/>
                <w:color w:val="000000"/>
                <w:sz w:val="18"/>
                <w:szCs w:val="18"/>
                <w:lang w:eastAsia="en-AU"/>
              </w:rPr>
              <w:t>MAXIMUM LOAN-TO-VALUE RATIO</w:t>
            </w:r>
          </w:p>
        </w:tc>
        <w:tc>
          <w:tcPr>
            <w:tcW w:w="4315"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70%</w:t>
            </w:r>
            <w:r w:rsidR="00C82E91">
              <w:rPr>
                <w:rFonts w:cs="Arial"/>
                <w:color w:val="000000"/>
                <w:sz w:val="18"/>
                <w:szCs w:val="18"/>
                <w:lang w:eastAsia="en-AU"/>
              </w:rPr>
              <w:t xml:space="preserve"> (an </w:t>
            </w:r>
            <w:r w:rsidR="00C82E91" w:rsidRPr="00C82E91">
              <w:rPr>
                <w:rFonts w:cs="Arial"/>
                <w:color w:val="000000"/>
                <w:sz w:val="18"/>
                <w:szCs w:val="18"/>
                <w:lang w:eastAsia="en-AU"/>
              </w:rPr>
              <w:t>LRBA in existence on publication of these guidelines, the trustees may use the market value of the asset at 1 July 2015</w:t>
            </w:r>
            <w:r w:rsidR="00C82E91">
              <w:rPr>
                <w:rFonts w:cs="Arial"/>
                <w:color w:val="000000"/>
                <w:sz w:val="18"/>
                <w:szCs w:val="18"/>
                <w:lang w:eastAsia="en-AU"/>
              </w:rPr>
              <w:t>)</w:t>
            </w:r>
          </w:p>
        </w:tc>
        <w:tc>
          <w:tcPr>
            <w:tcW w:w="3664"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50%</w:t>
            </w:r>
            <w:r w:rsidR="00C82E91">
              <w:rPr>
                <w:rFonts w:cs="Arial"/>
                <w:color w:val="000000"/>
                <w:sz w:val="18"/>
                <w:szCs w:val="18"/>
                <w:lang w:eastAsia="en-AU"/>
              </w:rPr>
              <w:t xml:space="preserve"> (an </w:t>
            </w:r>
            <w:r w:rsidR="00C82E91" w:rsidRPr="00C82E91">
              <w:rPr>
                <w:rFonts w:cs="Arial"/>
                <w:color w:val="000000"/>
                <w:sz w:val="18"/>
                <w:szCs w:val="18"/>
                <w:lang w:eastAsia="en-AU"/>
              </w:rPr>
              <w:t>LRBA in existence on publication of these guidelines, the trustees may use the market value of the asset at 1 July 2015</w:t>
            </w:r>
            <w:r w:rsidR="00C82E91">
              <w:rPr>
                <w:rFonts w:cs="Arial"/>
                <w:color w:val="000000"/>
                <w:sz w:val="18"/>
                <w:szCs w:val="18"/>
                <w:lang w:eastAsia="en-AU"/>
              </w:rPr>
              <w:t>)</w:t>
            </w:r>
          </w:p>
        </w:tc>
      </w:tr>
      <w:tr w:rsidR="00C01084" w:rsidRPr="00B026D1" w:rsidTr="00C01084">
        <w:trPr>
          <w:trHeight w:val="300"/>
          <w:jc w:val="center"/>
        </w:trPr>
        <w:tc>
          <w:tcPr>
            <w:tcW w:w="1381" w:type="dxa"/>
            <w:shd w:val="clear" w:color="auto" w:fill="auto"/>
            <w:noWrap/>
            <w:vAlign w:val="center"/>
            <w:hideMark/>
          </w:tcPr>
          <w:p w:rsidR="00C01084" w:rsidRPr="00B026D1" w:rsidRDefault="00C01084" w:rsidP="005621C7">
            <w:pPr>
              <w:spacing w:before="120" w:after="120"/>
              <w:jc w:val="center"/>
              <w:rPr>
                <w:rFonts w:cs="Arial"/>
                <w:b/>
                <w:color w:val="000000"/>
                <w:sz w:val="18"/>
                <w:szCs w:val="18"/>
                <w:lang w:eastAsia="en-AU"/>
              </w:rPr>
            </w:pPr>
            <w:r w:rsidRPr="00B026D1">
              <w:rPr>
                <w:rFonts w:cs="Arial"/>
                <w:b/>
                <w:color w:val="000000"/>
                <w:sz w:val="18"/>
                <w:szCs w:val="18"/>
                <w:lang w:eastAsia="en-AU"/>
              </w:rPr>
              <w:t>SECURITY</w:t>
            </w:r>
          </w:p>
        </w:tc>
        <w:tc>
          <w:tcPr>
            <w:tcW w:w="4315"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A registered mortgage</w:t>
            </w:r>
          </w:p>
        </w:tc>
        <w:tc>
          <w:tcPr>
            <w:tcW w:w="3664"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A registered charge/mortgage or similar security (that provides security for loans for such assets)</w:t>
            </w:r>
          </w:p>
        </w:tc>
      </w:tr>
      <w:tr w:rsidR="00C01084" w:rsidRPr="00B026D1" w:rsidTr="00C01084">
        <w:trPr>
          <w:trHeight w:val="300"/>
          <w:jc w:val="center"/>
        </w:trPr>
        <w:tc>
          <w:tcPr>
            <w:tcW w:w="1381" w:type="dxa"/>
            <w:shd w:val="clear" w:color="auto" w:fill="auto"/>
            <w:noWrap/>
            <w:vAlign w:val="center"/>
            <w:hideMark/>
          </w:tcPr>
          <w:p w:rsidR="00C01084" w:rsidRPr="00B026D1" w:rsidRDefault="00C01084" w:rsidP="005621C7">
            <w:pPr>
              <w:spacing w:before="120" w:after="120"/>
              <w:jc w:val="center"/>
              <w:rPr>
                <w:rFonts w:cs="Arial"/>
                <w:b/>
                <w:color w:val="000000"/>
                <w:sz w:val="18"/>
                <w:szCs w:val="18"/>
                <w:lang w:eastAsia="en-AU"/>
              </w:rPr>
            </w:pPr>
            <w:r w:rsidRPr="00B026D1">
              <w:rPr>
                <w:rFonts w:cs="Arial"/>
                <w:b/>
                <w:color w:val="000000"/>
                <w:sz w:val="18"/>
                <w:szCs w:val="18"/>
                <w:lang w:eastAsia="en-AU"/>
              </w:rPr>
              <w:t>PERSONAL GUARANTEE</w:t>
            </w:r>
          </w:p>
        </w:tc>
        <w:tc>
          <w:tcPr>
            <w:tcW w:w="4315"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Not required</w:t>
            </w:r>
          </w:p>
        </w:tc>
        <w:tc>
          <w:tcPr>
            <w:tcW w:w="3664"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Not required</w:t>
            </w:r>
          </w:p>
        </w:tc>
      </w:tr>
      <w:tr w:rsidR="00C01084" w:rsidRPr="00B026D1" w:rsidTr="00C01084">
        <w:trPr>
          <w:trHeight w:val="300"/>
          <w:jc w:val="center"/>
        </w:trPr>
        <w:tc>
          <w:tcPr>
            <w:tcW w:w="1381" w:type="dxa"/>
            <w:shd w:val="clear" w:color="auto" w:fill="auto"/>
            <w:noWrap/>
            <w:vAlign w:val="center"/>
            <w:hideMark/>
          </w:tcPr>
          <w:p w:rsidR="00C01084" w:rsidRPr="00B026D1" w:rsidRDefault="00C01084" w:rsidP="005621C7">
            <w:pPr>
              <w:spacing w:before="120" w:after="120"/>
              <w:jc w:val="left"/>
              <w:rPr>
                <w:rFonts w:cs="Arial"/>
                <w:b/>
                <w:color w:val="000000"/>
                <w:sz w:val="18"/>
                <w:szCs w:val="18"/>
                <w:lang w:eastAsia="en-AU"/>
              </w:rPr>
            </w:pPr>
            <w:r w:rsidRPr="00B026D1">
              <w:rPr>
                <w:rFonts w:cs="Arial"/>
                <w:b/>
                <w:color w:val="000000"/>
                <w:sz w:val="18"/>
                <w:szCs w:val="18"/>
                <w:lang w:eastAsia="en-AU"/>
              </w:rPr>
              <w:t>Nature and frequency of repayments</w:t>
            </w:r>
          </w:p>
        </w:tc>
        <w:tc>
          <w:tcPr>
            <w:tcW w:w="4315"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Monthly repayments on a 'principal and interest' basis</w:t>
            </w:r>
          </w:p>
        </w:tc>
        <w:tc>
          <w:tcPr>
            <w:tcW w:w="3664"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Same as real property</w:t>
            </w:r>
          </w:p>
        </w:tc>
      </w:tr>
      <w:tr w:rsidR="00C01084" w:rsidRPr="00B026D1" w:rsidTr="00C01084">
        <w:trPr>
          <w:trHeight w:val="300"/>
          <w:jc w:val="center"/>
        </w:trPr>
        <w:tc>
          <w:tcPr>
            <w:tcW w:w="1381" w:type="dxa"/>
            <w:shd w:val="clear" w:color="auto" w:fill="auto"/>
            <w:noWrap/>
            <w:vAlign w:val="center"/>
            <w:hideMark/>
          </w:tcPr>
          <w:p w:rsidR="00C01084" w:rsidRPr="00B026D1" w:rsidRDefault="00C01084" w:rsidP="005621C7">
            <w:pPr>
              <w:spacing w:before="120" w:after="120"/>
              <w:jc w:val="left"/>
              <w:rPr>
                <w:rFonts w:cs="Arial"/>
                <w:b/>
                <w:color w:val="000000"/>
                <w:sz w:val="18"/>
                <w:szCs w:val="18"/>
                <w:lang w:eastAsia="en-AU"/>
              </w:rPr>
            </w:pPr>
            <w:r w:rsidRPr="00B026D1">
              <w:rPr>
                <w:rFonts w:cs="Arial"/>
                <w:b/>
                <w:color w:val="000000"/>
                <w:sz w:val="18"/>
                <w:szCs w:val="18"/>
                <w:lang w:eastAsia="en-AU"/>
              </w:rPr>
              <w:lastRenderedPageBreak/>
              <w:t>Loan agreements</w:t>
            </w:r>
          </w:p>
        </w:tc>
        <w:tc>
          <w:tcPr>
            <w:tcW w:w="4315"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Written and executed</w:t>
            </w:r>
          </w:p>
        </w:tc>
        <w:tc>
          <w:tcPr>
            <w:tcW w:w="3664" w:type="dxa"/>
            <w:shd w:val="clear" w:color="auto" w:fill="auto"/>
            <w:noWrap/>
            <w:vAlign w:val="center"/>
            <w:hideMark/>
          </w:tcPr>
          <w:p w:rsidR="00C01084" w:rsidRPr="00B026D1" w:rsidRDefault="00C01084" w:rsidP="005621C7">
            <w:pPr>
              <w:spacing w:before="120" w:after="120"/>
              <w:jc w:val="center"/>
              <w:rPr>
                <w:rFonts w:cs="Arial"/>
                <w:color w:val="000000"/>
                <w:sz w:val="18"/>
                <w:szCs w:val="18"/>
                <w:lang w:eastAsia="en-AU"/>
              </w:rPr>
            </w:pPr>
            <w:r w:rsidRPr="00B026D1">
              <w:rPr>
                <w:rFonts w:cs="Arial"/>
                <w:color w:val="000000"/>
                <w:sz w:val="18"/>
                <w:szCs w:val="18"/>
                <w:lang w:eastAsia="en-AU"/>
              </w:rPr>
              <w:t>Written and executed</w:t>
            </w:r>
          </w:p>
        </w:tc>
      </w:tr>
    </w:tbl>
    <w:p w:rsidR="00B21A62" w:rsidRDefault="00B21A62" w:rsidP="005621C7"/>
    <w:p w:rsidR="007D369B" w:rsidRDefault="007D369B" w:rsidP="007D369B">
      <w:pPr>
        <w:pStyle w:val="LegalHeadings1"/>
        <w:numPr>
          <w:ilvl w:val="0"/>
          <w:numId w:val="6"/>
        </w:numPr>
        <w:outlineLvl w:val="9"/>
      </w:pPr>
      <w:r>
        <w:t xml:space="preserve">Your options </w:t>
      </w:r>
    </w:p>
    <w:p w:rsidR="007D369B" w:rsidRDefault="009E65C0" w:rsidP="009E65C0">
      <w:pPr>
        <w:pStyle w:val="NormalSpaceAfter"/>
      </w:pPr>
      <w:r>
        <w:t>As set out at the start of the letter, if the existing terms of the LRBAs are not in the safe harbours, you have the following options:</w:t>
      </w:r>
    </w:p>
    <w:p w:rsidR="009E65C0" w:rsidRDefault="009E65C0" w:rsidP="009E65C0">
      <w:pPr>
        <w:pStyle w:val="Bullet1"/>
      </w:pPr>
      <w:r>
        <w:rPr>
          <w:b/>
        </w:rPr>
        <w:t xml:space="preserve">OPTION 1: </w:t>
      </w:r>
      <w:r w:rsidRPr="007A1929">
        <w:t xml:space="preserve">alter the </w:t>
      </w:r>
      <w:r>
        <w:t>existing terms</w:t>
      </w:r>
      <w:r w:rsidRPr="007A1929">
        <w:t xml:space="preserve"> before 1 July </w:t>
      </w:r>
      <w:r>
        <w:t>2016 so that they are in the safe harbours. If pursuing this option we note that the ATO state in the guideline:</w:t>
      </w:r>
    </w:p>
    <w:p w:rsidR="009E65C0" w:rsidRPr="009E65C0" w:rsidRDefault="009E65C0" w:rsidP="009E65C0">
      <w:pPr>
        <w:pStyle w:val="NormalSpaceAfter"/>
        <w:ind w:left="1134"/>
        <w:rPr>
          <w:sz w:val="19"/>
          <w:szCs w:val="19"/>
        </w:rPr>
      </w:pPr>
      <w:r w:rsidRPr="009E65C0">
        <w:rPr>
          <w:sz w:val="19"/>
          <w:szCs w:val="19"/>
        </w:rPr>
        <w:t>Given this, we will not select an SMSF for an income tax review for the 2014-15 year or earlier years purely because the SMSF has entered into an LRBA. However, this is conditional on the SMSF trustee ensuring that any LRBAs that their fund has is on terms consistent with an arm's length dealing by 30 June 2016 or, alternatively, is brought to an end by 30 June 2016.</w:t>
      </w:r>
    </w:p>
    <w:p w:rsidR="009E65C0" w:rsidRPr="009E65C0" w:rsidRDefault="009E65C0" w:rsidP="009E65C0">
      <w:pPr>
        <w:pStyle w:val="NormalSpaceAfter"/>
        <w:ind w:left="1134"/>
        <w:rPr>
          <w:sz w:val="19"/>
          <w:szCs w:val="19"/>
        </w:rPr>
      </w:pPr>
      <w:r w:rsidRPr="009E65C0">
        <w:rPr>
          <w:sz w:val="19"/>
          <w:szCs w:val="19"/>
        </w:rPr>
        <w:t xml:space="preserve">In addition, </w:t>
      </w:r>
      <w:r w:rsidRPr="009E65C0">
        <w:rPr>
          <w:i/>
          <w:sz w:val="19"/>
          <w:szCs w:val="19"/>
        </w:rPr>
        <w:t>payments of principal and interest for the year ended 30 June 2016 must be made under LRBA terms consistent with an arm's le</w:t>
      </w:r>
      <w:r>
        <w:rPr>
          <w:i/>
          <w:sz w:val="19"/>
          <w:szCs w:val="19"/>
        </w:rPr>
        <w:t xml:space="preserve">ngth dealing </w:t>
      </w:r>
      <w:r w:rsidRPr="009E65C0">
        <w:rPr>
          <w:sz w:val="19"/>
          <w:szCs w:val="19"/>
        </w:rPr>
        <w:t>…</w:t>
      </w:r>
      <w:r>
        <w:rPr>
          <w:sz w:val="19"/>
          <w:szCs w:val="19"/>
        </w:rPr>
        <w:t xml:space="preserve"> [Emphasis added]</w:t>
      </w:r>
    </w:p>
    <w:p w:rsidR="009E65C0" w:rsidRDefault="009E65C0" w:rsidP="009E65C0">
      <w:pPr>
        <w:pStyle w:val="Bullet1"/>
      </w:pPr>
      <w:r>
        <w:rPr>
          <w:b/>
        </w:rPr>
        <w:t>OPTION 2:</w:t>
      </w:r>
      <w:r>
        <w:t xml:space="preserve"> terminate the LRBA</w:t>
      </w:r>
      <w:r w:rsidRPr="007A1929">
        <w:t xml:space="preserve"> before 1 July </w:t>
      </w:r>
      <w:r>
        <w:t>2016;</w:t>
      </w:r>
    </w:p>
    <w:p w:rsidR="009E65C0" w:rsidRDefault="004C1692" w:rsidP="009E65C0">
      <w:pPr>
        <w:pStyle w:val="Bullet1"/>
      </w:pPr>
      <w:r>
        <w:rPr>
          <w:b/>
        </w:rPr>
        <w:t>OPTION 3</w:t>
      </w:r>
      <w:r w:rsidR="009E65C0">
        <w:rPr>
          <w:b/>
        </w:rPr>
        <w:t xml:space="preserve">: </w:t>
      </w:r>
      <w:r w:rsidR="009E65C0" w:rsidRPr="007A1929">
        <w:t>document</w:t>
      </w:r>
      <w:r w:rsidR="009E65C0">
        <w:t xml:space="preserve"> and retain evidence so that you can d</w:t>
      </w:r>
      <w:r w:rsidR="009E65C0" w:rsidRPr="00B21A62">
        <w:t xml:space="preserve">emonstrate that the </w:t>
      </w:r>
      <w:r w:rsidR="009E65C0">
        <w:t>LRBA</w:t>
      </w:r>
      <w:r w:rsidR="009E65C0" w:rsidRPr="00B21A62">
        <w:t xml:space="preserve"> was entered into and maintained on terms consistent with an arms' length dealing</w:t>
      </w:r>
      <w:r w:rsidR="001B4F84">
        <w:t>.</w:t>
      </w:r>
      <w:r w:rsidR="001B4F84" w:rsidRPr="001B4F84">
        <w:t xml:space="preserve"> </w:t>
      </w:r>
      <w:r w:rsidR="001B4F84">
        <w:t>If pursuing this option we note that the ATO state in the guideline:</w:t>
      </w:r>
    </w:p>
    <w:p w:rsidR="001B4F84" w:rsidRPr="001B4F84" w:rsidRDefault="00BB3DBE" w:rsidP="001B4F84">
      <w:pPr>
        <w:pStyle w:val="NormalSpaceAfter"/>
        <w:ind w:left="1134"/>
        <w:rPr>
          <w:sz w:val="19"/>
          <w:szCs w:val="19"/>
        </w:rPr>
      </w:pPr>
      <w:r w:rsidRPr="00BB3DBE">
        <w:rPr>
          <w:sz w:val="19"/>
          <w:szCs w:val="19"/>
        </w:rPr>
        <w:t>If SMSF trustees have entered into an arrangement which does not meet all of the 'Safe Harbour' terms set out in this Guideline, whilst the trustees are unable to be assured that the Commissioner will accept the arrangement to be consistent with an arms' length dealing, it does not mean that the arrangement is deemed not to be on arms' length terms. It merely means that there is no certainty provided under this Guideline. The trustees will need to be able to otherwise demonstrate that the arrangement was entered into and maintained on terms consistent with an arms' length dealing. One example of how a trustee may demonstrate this is by maintaining evidence that shows their particular arrangement is established and maintained on terms that replicate the terms of a commercial loan that is available in the same circumstances</w:t>
      </w:r>
    </w:p>
    <w:p w:rsidR="004C1692" w:rsidRDefault="004C1692" w:rsidP="004C1692">
      <w:pPr>
        <w:pStyle w:val="Bullet1"/>
      </w:pPr>
      <w:r>
        <w:rPr>
          <w:b/>
        </w:rPr>
        <w:t xml:space="preserve">OPTION 4: </w:t>
      </w:r>
      <w:r w:rsidRPr="007A1929">
        <w:t>re-finance</w:t>
      </w:r>
      <w:r>
        <w:t xml:space="preserve"> with a bank or other arm’s length lender before 1 July 2016; or</w:t>
      </w:r>
    </w:p>
    <w:p w:rsidR="005621C7" w:rsidRDefault="009E65C0" w:rsidP="00FA5035">
      <w:pPr>
        <w:pStyle w:val="Bullet1"/>
      </w:pPr>
      <w:r w:rsidRPr="009E65C0">
        <w:rPr>
          <w:b/>
        </w:rPr>
        <w:t xml:space="preserve">OPTION 5: </w:t>
      </w:r>
      <w:r w:rsidR="00351638">
        <w:t>instruct us to a</w:t>
      </w:r>
      <w:r w:rsidR="00351638" w:rsidRPr="007A1929">
        <w:t>pproach the ATO</w:t>
      </w:r>
      <w:r w:rsidR="00351638">
        <w:t xml:space="preserve"> on your behalf</w:t>
      </w:r>
      <w:r w:rsidR="008C08BF" w:rsidRPr="008C08BF">
        <w:t xml:space="preserve"> </w:t>
      </w:r>
      <w:r w:rsidR="008C08BF" w:rsidRPr="00A80ADA">
        <w:t>as soon as possible</w:t>
      </w:r>
      <w:r w:rsidR="008C08BF">
        <w:t xml:space="preserve"> as a tailored submission needs to be made if the 30 June deadline can’t be satisfied</w:t>
      </w:r>
      <w:r w:rsidR="00351638">
        <w:t>.</w:t>
      </w:r>
    </w:p>
    <w:bookmarkEnd w:id="2"/>
    <w:p w:rsidR="00FA63F4" w:rsidRDefault="00C05AD5" w:rsidP="00FA63F4">
      <w:pPr>
        <w:pStyle w:val="NormalSpaceAfter"/>
      </w:pPr>
      <w:r>
        <w:t>Accordingly, urgent action might be required. Please contact our office accordingly.</w:t>
      </w:r>
    </w:p>
    <w:p w:rsidR="00DB3BC1" w:rsidRPr="00E140CA" w:rsidRDefault="00DB3BC1" w:rsidP="00FA63F4">
      <w:pPr>
        <w:pStyle w:val="NormalSpaceAfter"/>
      </w:pPr>
      <w:r w:rsidRPr="00DB3BC1">
        <w:rPr>
          <w:highlight w:val="yellow"/>
        </w:rPr>
        <w:t xml:space="preserve">[Insert </w:t>
      </w:r>
      <w:r>
        <w:rPr>
          <w:highlight w:val="yellow"/>
        </w:rPr>
        <w:t xml:space="preserve">any </w:t>
      </w:r>
      <w:r w:rsidRPr="00DB3BC1">
        <w:rPr>
          <w:highlight w:val="yellow"/>
        </w:rPr>
        <w:t>appropriate disclaimers</w:t>
      </w:r>
      <w:r>
        <w:rPr>
          <w:highlight w:val="yellow"/>
        </w:rPr>
        <w:t>, eg, whether you provide financial product advice, etc</w:t>
      </w:r>
      <w:r w:rsidRPr="00DB3BC1">
        <w:rPr>
          <w:highlight w:val="yellow"/>
        </w:rPr>
        <w:t>]</w:t>
      </w:r>
    </w:p>
    <w:p w:rsidR="00FA63F4" w:rsidRDefault="00FA63F4" w:rsidP="00FA63F4">
      <w:pPr>
        <w:keepNext/>
      </w:pPr>
      <w:r>
        <w:t>Yours sincerely</w:t>
      </w:r>
    </w:p>
    <w:p w:rsidR="0035347D" w:rsidRPr="0035347D" w:rsidRDefault="0035347D" w:rsidP="0035347D"/>
    <w:sectPr w:rsidR="0035347D" w:rsidRPr="0035347D" w:rsidSect="00956A00">
      <w:footerReference w:type="default" r:id="rId8"/>
      <w:footerReference w:type="first" r:id="rId9"/>
      <w:pgSz w:w="11906" w:h="16838" w:code="9"/>
      <w:pgMar w:top="851" w:right="1418" w:bottom="993"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3F4" w:rsidRDefault="00FA63F4" w:rsidP="00592DB7">
      <w:r>
        <w:separator/>
      </w:r>
    </w:p>
  </w:endnote>
  <w:endnote w:type="continuationSeparator" w:id="0">
    <w:p w:rsidR="00FA63F4" w:rsidRDefault="00FA63F4" w:rsidP="005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B7" w:rsidRDefault="00592DB7">
    <w:pPr>
      <w:pStyle w:val="Footer"/>
    </w:pPr>
    <w:r>
      <w:tab/>
    </w:r>
    <w:r>
      <w:fldChar w:fldCharType="begin"/>
    </w:r>
    <w:r>
      <w:instrText xml:space="preserve"> page </w:instrText>
    </w:r>
    <w:r>
      <w:fldChar w:fldCharType="separate"/>
    </w:r>
    <w:r w:rsidR="009F44B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B7" w:rsidRDefault="00592DB7">
    <w:pPr>
      <w:pStyle w:val="Footer"/>
    </w:pPr>
    <w:r>
      <w:tab/>
    </w:r>
    <w:r>
      <w:fldChar w:fldCharType="begin"/>
    </w:r>
    <w:r>
      <w:instrText xml:space="preserve"> page </w:instrText>
    </w:r>
    <w:r>
      <w:fldChar w:fldCharType="separate"/>
    </w:r>
    <w:r w:rsidR="009F44B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3F4" w:rsidRDefault="00FA63F4" w:rsidP="00592DB7">
      <w:r>
        <w:separator/>
      </w:r>
    </w:p>
  </w:footnote>
  <w:footnote w:type="continuationSeparator" w:id="0">
    <w:p w:rsidR="00FA63F4" w:rsidRDefault="00FA63F4" w:rsidP="00592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BAF4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717883"/>
    <w:multiLevelType w:val="multilevel"/>
    <w:tmpl w:val="D520A7B4"/>
    <w:styleLink w:val="Bullets"/>
    <w:lvl w:ilvl="0">
      <w:start w:val="1"/>
      <w:numFmt w:val="bullet"/>
      <w:pStyle w:val="Bullet1"/>
      <w:lvlText w:val=""/>
      <w:lvlJc w:val="left"/>
      <w:pPr>
        <w:tabs>
          <w:tab w:val="num" w:pos="567"/>
        </w:tabs>
        <w:ind w:left="567" w:hanging="567"/>
      </w:pPr>
      <w:rPr>
        <w:rFonts w:ascii="Symbol" w:hAnsi="Symbol" w:hint="default"/>
        <w:color w:val="auto"/>
      </w:rPr>
    </w:lvl>
    <w:lvl w:ilvl="1">
      <w:start w:val="1"/>
      <w:numFmt w:val="bullet"/>
      <w:pStyle w:val="Bullet2"/>
      <w:lvlText w:val="○"/>
      <w:lvlJc w:val="left"/>
      <w:pPr>
        <w:ind w:left="1134" w:hanging="567"/>
      </w:pPr>
      <w:rPr>
        <w:rFonts w:hint="default"/>
        <w:color w:val="auto"/>
      </w:rPr>
    </w:lvl>
    <w:lvl w:ilvl="2">
      <w:start w:val="1"/>
      <w:numFmt w:val="bullet"/>
      <w:pStyle w:val="Bullet3"/>
      <w:lvlText w:val="▪"/>
      <w:lvlJc w:val="left"/>
      <w:pPr>
        <w:ind w:left="1701" w:hanging="567"/>
      </w:pPr>
      <w:rPr>
        <w:rFonts w:ascii="Calibri" w:hAnsi="Calibri" w:hint="default"/>
        <w:color w:val="auto"/>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27465973"/>
    <w:multiLevelType w:val="multilevel"/>
    <w:tmpl w:val="51A464F2"/>
    <w:styleLink w:val="LegalHeadings"/>
    <w:lvl w:ilvl="0">
      <w:start w:val="1"/>
      <w:numFmt w:val="decimal"/>
      <w:pStyle w:val="LegalHeadings1"/>
      <w:lvlText w:val="%1"/>
      <w:lvlJc w:val="left"/>
      <w:pPr>
        <w:tabs>
          <w:tab w:val="num" w:pos="567"/>
        </w:tabs>
        <w:ind w:left="567" w:hanging="567"/>
      </w:pPr>
      <w:rPr>
        <w:rFonts w:hint="default"/>
      </w:rPr>
    </w:lvl>
    <w:lvl w:ilvl="1">
      <w:start w:val="1"/>
      <w:numFmt w:val="decimal"/>
      <w:pStyle w:val="LegalHeadings2"/>
      <w:lvlText w:val="%1.%2"/>
      <w:lvlJc w:val="left"/>
      <w:pPr>
        <w:tabs>
          <w:tab w:val="num" w:pos="567"/>
        </w:tabs>
        <w:ind w:left="567" w:hanging="567"/>
      </w:pPr>
      <w:rPr>
        <w:rFonts w:hint="default"/>
      </w:rPr>
    </w:lvl>
    <w:lvl w:ilvl="2">
      <w:start w:val="1"/>
      <w:numFmt w:val="lowerLetter"/>
      <w:pStyle w:val="LegalHeadings3"/>
      <w:lvlText w:val="(%3)"/>
      <w:lvlJc w:val="left"/>
      <w:pPr>
        <w:tabs>
          <w:tab w:val="num" w:pos="567"/>
        </w:tabs>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2BE474BB"/>
    <w:multiLevelType w:val="hybridMultilevel"/>
    <w:tmpl w:val="D2545B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53742E"/>
    <w:multiLevelType w:val="multilevel"/>
    <w:tmpl w:val="B89A5E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73276F"/>
    <w:multiLevelType w:val="hybridMultilevel"/>
    <w:tmpl w:val="557AAEAE"/>
    <w:lvl w:ilvl="0" w:tplc="5686D3DC">
      <w:start w:val="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AD027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B61C65"/>
    <w:multiLevelType w:val="multilevel"/>
    <w:tmpl w:val="1E1ED6E0"/>
    <w:styleLink w:val="PlainNumbering"/>
    <w:lvl w:ilvl="0">
      <w:start w:val="1"/>
      <w:numFmt w:val="decimal"/>
      <w:pStyle w:val="PlainNumbering1"/>
      <w:lvlText w:val="%1"/>
      <w:lvlJc w:val="left"/>
      <w:pPr>
        <w:tabs>
          <w:tab w:val="num" w:pos="567"/>
        </w:tabs>
        <w:ind w:left="567" w:hanging="567"/>
      </w:pPr>
      <w:rPr>
        <w:rFonts w:hint="default"/>
      </w:rPr>
    </w:lvl>
    <w:lvl w:ilvl="1">
      <w:start w:val="1"/>
      <w:numFmt w:val="lowerLetter"/>
      <w:pStyle w:val="PlainNumbering2"/>
      <w:lvlText w:val="(%2)"/>
      <w:lvlJc w:val="left"/>
      <w:pPr>
        <w:tabs>
          <w:tab w:val="num" w:pos="1134"/>
        </w:tabs>
        <w:ind w:left="1134" w:hanging="567"/>
      </w:pPr>
      <w:rPr>
        <w:rFonts w:hint="default"/>
      </w:rPr>
    </w:lvl>
    <w:lvl w:ilvl="2">
      <w:start w:val="1"/>
      <w:numFmt w:val="lowerRoman"/>
      <w:pStyle w:val="PlainNumbering3"/>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6"/>
  </w:num>
  <w:num w:numId="2">
    <w:abstractNumId w:val="3"/>
  </w:num>
  <w:num w:numId="3">
    <w:abstractNumId w:val="1"/>
  </w:num>
  <w:num w:numId="4">
    <w:abstractNumId w:val="2"/>
  </w:num>
  <w:num w:numId="5">
    <w:abstractNumId w:val="7"/>
  </w:num>
  <w:num w:numId="6">
    <w:abstractNumId w:val="4"/>
  </w:num>
  <w:num w:numId="7">
    <w:abstractNumId w:val="2"/>
  </w:num>
  <w:num w:numId="8">
    <w:abstractNumId w:val="1"/>
  </w:num>
  <w:num w:numId="9">
    <w:abstractNumId w:val="1"/>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F4"/>
    <w:rsid w:val="0005724D"/>
    <w:rsid w:val="000630E0"/>
    <w:rsid w:val="00072154"/>
    <w:rsid w:val="0011290D"/>
    <w:rsid w:val="001B4F84"/>
    <w:rsid w:val="001C3C68"/>
    <w:rsid w:val="001F5399"/>
    <w:rsid w:val="00351638"/>
    <w:rsid w:val="0035347D"/>
    <w:rsid w:val="00380FEA"/>
    <w:rsid w:val="003D5AA9"/>
    <w:rsid w:val="00436DB7"/>
    <w:rsid w:val="00445EFC"/>
    <w:rsid w:val="004613F9"/>
    <w:rsid w:val="004C1692"/>
    <w:rsid w:val="004D04FC"/>
    <w:rsid w:val="005621C7"/>
    <w:rsid w:val="00592DB7"/>
    <w:rsid w:val="005E367C"/>
    <w:rsid w:val="00603B32"/>
    <w:rsid w:val="00693688"/>
    <w:rsid w:val="006E6E0B"/>
    <w:rsid w:val="00771A0F"/>
    <w:rsid w:val="00786ADD"/>
    <w:rsid w:val="007A1929"/>
    <w:rsid w:val="007D369B"/>
    <w:rsid w:val="007F5D99"/>
    <w:rsid w:val="00860EE4"/>
    <w:rsid w:val="00864906"/>
    <w:rsid w:val="008C0539"/>
    <w:rsid w:val="008C08BF"/>
    <w:rsid w:val="008D1BBC"/>
    <w:rsid w:val="008E3A74"/>
    <w:rsid w:val="008F3B17"/>
    <w:rsid w:val="00956A00"/>
    <w:rsid w:val="009E65C0"/>
    <w:rsid w:val="009F44BB"/>
    <w:rsid w:val="00A80ADA"/>
    <w:rsid w:val="00B026D1"/>
    <w:rsid w:val="00B21A62"/>
    <w:rsid w:val="00B33B91"/>
    <w:rsid w:val="00BB3DBE"/>
    <w:rsid w:val="00BF0C85"/>
    <w:rsid w:val="00C01084"/>
    <w:rsid w:val="00C05AD5"/>
    <w:rsid w:val="00C425FF"/>
    <w:rsid w:val="00C82E91"/>
    <w:rsid w:val="00DB3BC1"/>
    <w:rsid w:val="00E40DBA"/>
    <w:rsid w:val="00E904A2"/>
    <w:rsid w:val="00EB1E86"/>
    <w:rsid w:val="00ED775B"/>
    <w:rsid w:val="00FA6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2C184-7C69-40C3-AF42-68239B83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1"/>
        <w:szCs w:val="21"/>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F4"/>
    <w:pPr>
      <w:jc w:val="both"/>
    </w:pPr>
    <w:rPr>
      <w:rFonts w:ascii="Arial" w:eastAsia="Times New Roman" w:hAnsi="Arial" w:cs="Times New Roman"/>
      <w:szCs w:val="20"/>
    </w:rPr>
  </w:style>
  <w:style w:type="paragraph" w:styleId="Heading1">
    <w:name w:val="heading 1"/>
    <w:basedOn w:val="NormalSpaceAfter"/>
    <w:next w:val="NormalSpaceAfter"/>
    <w:link w:val="Heading1Char"/>
    <w:uiPriority w:val="2"/>
    <w:qFormat/>
    <w:rsid w:val="00860EE4"/>
    <w:pPr>
      <w:keepNext/>
      <w:keepLines/>
      <w:spacing w:before="210"/>
      <w:outlineLvl w:val="0"/>
    </w:pPr>
    <w:rPr>
      <w:rFonts w:eastAsiaTheme="majorEastAsia" w:cstheme="majorBidi"/>
      <w:b/>
      <w:szCs w:val="32"/>
    </w:rPr>
  </w:style>
  <w:style w:type="paragraph" w:styleId="Heading2">
    <w:name w:val="heading 2"/>
    <w:basedOn w:val="Heading1"/>
    <w:next w:val="NormalSpaceAfter"/>
    <w:link w:val="Heading2Char"/>
    <w:uiPriority w:val="2"/>
    <w:qFormat/>
    <w:rsid w:val="00860EE4"/>
    <w:pPr>
      <w:spacing w:before="0"/>
      <w:outlineLvl w:val="1"/>
    </w:pPr>
    <w:rPr>
      <w:b w:val="0"/>
      <w:i/>
      <w:szCs w:val="26"/>
    </w:rPr>
  </w:style>
  <w:style w:type="paragraph" w:styleId="Heading3">
    <w:name w:val="heading 3"/>
    <w:basedOn w:val="Heading2"/>
    <w:next w:val="NormalSpaceAfter"/>
    <w:link w:val="Heading3Char"/>
    <w:uiPriority w:val="2"/>
    <w:qFormat/>
    <w:rsid w:val="00860EE4"/>
    <w:pPr>
      <w:outlineLvl w:val="2"/>
    </w:pPr>
    <w:rPr>
      <w:i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ceAfter">
    <w:name w:val="NormalSpaceAfter"/>
    <w:basedOn w:val="Normal"/>
    <w:qFormat/>
    <w:rsid w:val="00860EE4"/>
    <w:pPr>
      <w:spacing w:after="210"/>
    </w:pPr>
  </w:style>
  <w:style w:type="character" w:customStyle="1" w:styleId="Heading1Char">
    <w:name w:val="Heading 1 Char"/>
    <w:basedOn w:val="DefaultParagraphFont"/>
    <w:link w:val="Heading1"/>
    <w:uiPriority w:val="2"/>
    <w:rsid w:val="00C425FF"/>
    <w:rPr>
      <w:rFonts w:ascii="Arial" w:eastAsiaTheme="majorEastAsia" w:hAnsi="Arial" w:cstheme="majorBidi"/>
      <w:b/>
      <w:szCs w:val="32"/>
    </w:rPr>
  </w:style>
  <w:style w:type="character" w:customStyle="1" w:styleId="Heading2Char">
    <w:name w:val="Heading 2 Char"/>
    <w:basedOn w:val="DefaultParagraphFont"/>
    <w:link w:val="Heading2"/>
    <w:uiPriority w:val="2"/>
    <w:rsid w:val="00C425FF"/>
    <w:rPr>
      <w:rFonts w:ascii="Arial" w:eastAsiaTheme="majorEastAsia" w:hAnsi="Arial" w:cstheme="majorBidi"/>
      <w:i/>
      <w:szCs w:val="26"/>
    </w:rPr>
  </w:style>
  <w:style w:type="character" w:customStyle="1" w:styleId="Heading3Char">
    <w:name w:val="Heading 3 Char"/>
    <w:basedOn w:val="DefaultParagraphFont"/>
    <w:link w:val="Heading3"/>
    <w:uiPriority w:val="2"/>
    <w:rsid w:val="00C425FF"/>
    <w:rPr>
      <w:rFonts w:ascii="Arial" w:eastAsiaTheme="majorEastAsia" w:hAnsi="Arial" w:cstheme="majorBidi"/>
      <w:szCs w:val="24"/>
    </w:rPr>
  </w:style>
  <w:style w:type="paragraph" w:customStyle="1" w:styleId="Bullet1">
    <w:name w:val="Bullet 1"/>
    <w:basedOn w:val="NormalSpaceAfter"/>
    <w:uiPriority w:val="6"/>
    <w:qFormat/>
    <w:rsid w:val="00C425FF"/>
    <w:pPr>
      <w:numPr>
        <w:numId w:val="3"/>
      </w:numPr>
    </w:pPr>
  </w:style>
  <w:style w:type="paragraph" w:customStyle="1" w:styleId="Bullet2">
    <w:name w:val="Bullet 2"/>
    <w:basedOn w:val="Bullet1"/>
    <w:uiPriority w:val="6"/>
    <w:qFormat/>
    <w:rsid w:val="00C425FF"/>
    <w:pPr>
      <w:numPr>
        <w:ilvl w:val="1"/>
      </w:numPr>
    </w:pPr>
  </w:style>
  <w:style w:type="paragraph" w:customStyle="1" w:styleId="Bullet3">
    <w:name w:val="Bullet 3"/>
    <w:basedOn w:val="Bullet2"/>
    <w:uiPriority w:val="6"/>
    <w:qFormat/>
    <w:rsid w:val="00C425FF"/>
    <w:pPr>
      <w:numPr>
        <w:ilvl w:val="2"/>
      </w:numPr>
    </w:pPr>
  </w:style>
  <w:style w:type="numbering" w:customStyle="1" w:styleId="Bullets">
    <w:name w:val="Bullets"/>
    <w:uiPriority w:val="99"/>
    <w:rsid w:val="00C425FF"/>
    <w:pPr>
      <w:numPr>
        <w:numId w:val="3"/>
      </w:numPr>
    </w:pPr>
  </w:style>
  <w:style w:type="paragraph" w:customStyle="1" w:styleId="Indent1">
    <w:name w:val="Indent 1"/>
    <w:basedOn w:val="NormalSpaceAfter"/>
    <w:uiPriority w:val="8"/>
    <w:qFormat/>
    <w:rsid w:val="00436DB7"/>
    <w:pPr>
      <w:ind w:left="567"/>
    </w:pPr>
  </w:style>
  <w:style w:type="paragraph" w:customStyle="1" w:styleId="Indent2">
    <w:name w:val="Indent 2"/>
    <w:basedOn w:val="Indent1"/>
    <w:uiPriority w:val="8"/>
    <w:qFormat/>
    <w:rsid w:val="00436DB7"/>
    <w:pPr>
      <w:ind w:left="1134"/>
    </w:pPr>
  </w:style>
  <w:style w:type="paragraph" w:customStyle="1" w:styleId="Indent3">
    <w:name w:val="Indent 3"/>
    <w:basedOn w:val="Indent2"/>
    <w:uiPriority w:val="8"/>
    <w:qFormat/>
    <w:rsid w:val="00436DB7"/>
    <w:pPr>
      <w:ind w:left="1701"/>
    </w:pPr>
  </w:style>
  <w:style w:type="paragraph" w:customStyle="1" w:styleId="LegalHeadings1">
    <w:name w:val="Legal Headings 1"/>
    <w:basedOn w:val="NormalSpaceAfter"/>
    <w:next w:val="NormalSpaceAfter"/>
    <w:qFormat/>
    <w:rsid w:val="0035347D"/>
    <w:pPr>
      <w:keepNext/>
      <w:numPr>
        <w:numId w:val="4"/>
      </w:numPr>
      <w:outlineLvl w:val="0"/>
    </w:pPr>
    <w:rPr>
      <w:b/>
      <w:caps/>
    </w:rPr>
  </w:style>
  <w:style w:type="paragraph" w:customStyle="1" w:styleId="LegalHeadings2">
    <w:name w:val="Legal Headings 2"/>
    <w:basedOn w:val="LegalHeadings1"/>
    <w:next w:val="NormalSpaceAfter"/>
    <w:qFormat/>
    <w:rsid w:val="0035347D"/>
    <w:pPr>
      <w:numPr>
        <w:ilvl w:val="1"/>
      </w:numPr>
      <w:outlineLvl w:val="1"/>
    </w:pPr>
    <w:rPr>
      <w:caps w:val="0"/>
    </w:rPr>
  </w:style>
  <w:style w:type="paragraph" w:customStyle="1" w:styleId="LegalHeadings3">
    <w:name w:val="Legal Headings 3"/>
    <w:basedOn w:val="LegalHeadings2"/>
    <w:next w:val="NormalSpaceAfter"/>
    <w:qFormat/>
    <w:rsid w:val="00436DB7"/>
    <w:pPr>
      <w:numPr>
        <w:ilvl w:val="2"/>
      </w:numPr>
      <w:outlineLvl w:val="2"/>
    </w:pPr>
  </w:style>
  <w:style w:type="numbering" w:customStyle="1" w:styleId="LegalHeadings">
    <w:name w:val="Legal Headings"/>
    <w:uiPriority w:val="99"/>
    <w:rsid w:val="00436DB7"/>
    <w:pPr>
      <w:numPr>
        <w:numId w:val="4"/>
      </w:numPr>
    </w:pPr>
  </w:style>
  <w:style w:type="paragraph" w:customStyle="1" w:styleId="PlainNumbering1">
    <w:name w:val="Plain Numbering 1"/>
    <w:basedOn w:val="NormalSpaceAfter"/>
    <w:uiPriority w:val="4"/>
    <w:qFormat/>
    <w:rsid w:val="00436DB7"/>
    <w:pPr>
      <w:numPr>
        <w:numId w:val="5"/>
      </w:numPr>
    </w:pPr>
  </w:style>
  <w:style w:type="paragraph" w:styleId="Quote">
    <w:name w:val="Quote"/>
    <w:basedOn w:val="NormalSpaceAfter"/>
    <w:link w:val="QuoteChar"/>
    <w:qFormat/>
    <w:rsid w:val="00436DB7"/>
    <w:pPr>
      <w:ind w:left="567"/>
    </w:pPr>
    <w:rPr>
      <w:iCs/>
      <w:sz w:val="20"/>
    </w:rPr>
  </w:style>
  <w:style w:type="character" w:customStyle="1" w:styleId="QuoteChar">
    <w:name w:val="Quote Char"/>
    <w:basedOn w:val="DefaultParagraphFont"/>
    <w:link w:val="Quote"/>
    <w:uiPriority w:val="10"/>
    <w:rsid w:val="00445EFC"/>
    <w:rPr>
      <w:rFonts w:ascii="Arial" w:hAnsi="Arial"/>
      <w:iCs/>
      <w:sz w:val="20"/>
    </w:rPr>
  </w:style>
  <w:style w:type="paragraph" w:customStyle="1" w:styleId="PlainNumbering2">
    <w:name w:val="Plain Numbering 2"/>
    <w:basedOn w:val="PlainNumbering1"/>
    <w:uiPriority w:val="4"/>
    <w:qFormat/>
    <w:rsid w:val="00436DB7"/>
    <w:pPr>
      <w:numPr>
        <w:ilvl w:val="1"/>
      </w:numPr>
    </w:pPr>
  </w:style>
  <w:style w:type="paragraph" w:customStyle="1" w:styleId="PlainNumbering3">
    <w:name w:val="Plain Numbering 3"/>
    <w:basedOn w:val="PlainNumbering2"/>
    <w:uiPriority w:val="4"/>
    <w:qFormat/>
    <w:rsid w:val="00436DB7"/>
    <w:pPr>
      <w:numPr>
        <w:ilvl w:val="2"/>
      </w:numPr>
    </w:pPr>
  </w:style>
  <w:style w:type="numbering" w:customStyle="1" w:styleId="PlainNumbering">
    <w:name w:val="Plain Numbering"/>
    <w:uiPriority w:val="99"/>
    <w:rsid w:val="00436DB7"/>
    <w:pPr>
      <w:numPr>
        <w:numId w:val="5"/>
      </w:numPr>
    </w:pPr>
  </w:style>
  <w:style w:type="paragraph" w:styleId="Header">
    <w:name w:val="header"/>
    <w:basedOn w:val="Normal"/>
    <w:link w:val="HeaderChar"/>
    <w:uiPriority w:val="99"/>
    <w:unhideWhenUsed/>
    <w:rsid w:val="00592DB7"/>
    <w:pPr>
      <w:tabs>
        <w:tab w:val="center" w:pos="4513"/>
        <w:tab w:val="right" w:pos="9026"/>
      </w:tabs>
    </w:pPr>
  </w:style>
  <w:style w:type="character" w:customStyle="1" w:styleId="HeaderChar">
    <w:name w:val="Header Char"/>
    <w:basedOn w:val="DefaultParagraphFont"/>
    <w:link w:val="Header"/>
    <w:uiPriority w:val="99"/>
    <w:rsid w:val="00592DB7"/>
    <w:rPr>
      <w:rFonts w:ascii="Arial" w:hAnsi="Arial"/>
    </w:rPr>
  </w:style>
  <w:style w:type="paragraph" w:styleId="Footer">
    <w:name w:val="footer"/>
    <w:basedOn w:val="Normal"/>
    <w:link w:val="FooterChar"/>
    <w:uiPriority w:val="99"/>
    <w:unhideWhenUsed/>
    <w:rsid w:val="00592DB7"/>
    <w:pPr>
      <w:tabs>
        <w:tab w:val="center" w:pos="4513"/>
        <w:tab w:val="right" w:pos="9026"/>
      </w:tabs>
    </w:pPr>
  </w:style>
  <w:style w:type="character" w:customStyle="1" w:styleId="FooterChar">
    <w:name w:val="Footer Char"/>
    <w:basedOn w:val="DefaultParagraphFont"/>
    <w:link w:val="Footer"/>
    <w:uiPriority w:val="99"/>
    <w:rsid w:val="00592DB7"/>
    <w:rPr>
      <w:rFonts w:ascii="Arial" w:hAnsi="Arial"/>
    </w:rPr>
  </w:style>
  <w:style w:type="table" w:styleId="TableGrid">
    <w:name w:val="Table Grid"/>
    <w:basedOn w:val="TableNormal"/>
    <w:uiPriority w:val="39"/>
    <w:rsid w:val="001C3C68"/>
    <w:tblPr/>
  </w:style>
  <w:style w:type="character" w:styleId="Hyperlink">
    <w:name w:val="Hyperlink"/>
    <w:semiHidden/>
    <w:rsid w:val="00FA63F4"/>
    <w:rPr>
      <w:color w:val="0000FF"/>
      <w:u w:val="single"/>
    </w:rPr>
  </w:style>
  <w:style w:type="character" w:styleId="FollowedHyperlink">
    <w:name w:val="FollowedHyperlink"/>
    <w:basedOn w:val="DefaultParagraphFont"/>
    <w:uiPriority w:val="99"/>
    <w:semiHidden/>
    <w:unhideWhenUsed/>
    <w:rsid w:val="00B21A62"/>
    <w:rPr>
      <w:color w:val="954F72" w:themeColor="followedHyperlink"/>
      <w:u w:val="single"/>
    </w:rPr>
  </w:style>
  <w:style w:type="paragraph" w:styleId="ListParagraph">
    <w:name w:val="List Paragraph"/>
    <w:basedOn w:val="Normal"/>
    <w:uiPriority w:val="34"/>
    <w:semiHidden/>
    <w:qFormat/>
    <w:rsid w:val="00B026D1"/>
    <w:pPr>
      <w:ind w:left="720"/>
      <w:contextualSpacing/>
    </w:pPr>
  </w:style>
  <w:style w:type="paragraph" w:styleId="ListBullet">
    <w:name w:val="List Bullet"/>
    <w:basedOn w:val="Normal"/>
    <w:uiPriority w:val="99"/>
    <w:unhideWhenUsed/>
    <w:rsid w:val="00B026D1"/>
    <w:pPr>
      <w:numPr>
        <w:numId w:val="11"/>
      </w:numPr>
      <w:contextualSpacing/>
    </w:pPr>
  </w:style>
  <w:style w:type="paragraph" w:styleId="BalloonText">
    <w:name w:val="Balloon Text"/>
    <w:basedOn w:val="Normal"/>
    <w:link w:val="BalloonTextChar"/>
    <w:uiPriority w:val="99"/>
    <w:semiHidden/>
    <w:unhideWhenUsed/>
    <w:rsid w:val="00B33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5562">
      <w:bodyDiv w:val="1"/>
      <w:marLeft w:val="0"/>
      <w:marRight w:val="0"/>
      <w:marTop w:val="0"/>
      <w:marBottom w:val="0"/>
      <w:divBdr>
        <w:top w:val="none" w:sz="0" w:space="0" w:color="auto"/>
        <w:left w:val="none" w:sz="0" w:space="0" w:color="auto"/>
        <w:bottom w:val="none" w:sz="0" w:space="0" w:color="auto"/>
        <w:right w:val="none" w:sz="0" w:space="0" w:color="auto"/>
      </w:divBdr>
    </w:div>
    <w:div w:id="238171439">
      <w:bodyDiv w:val="1"/>
      <w:marLeft w:val="0"/>
      <w:marRight w:val="0"/>
      <w:marTop w:val="0"/>
      <w:marBottom w:val="0"/>
      <w:divBdr>
        <w:top w:val="none" w:sz="0" w:space="0" w:color="auto"/>
        <w:left w:val="none" w:sz="0" w:space="0" w:color="auto"/>
        <w:bottom w:val="none" w:sz="0" w:space="0" w:color="auto"/>
        <w:right w:val="none" w:sz="0" w:space="0" w:color="auto"/>
      </w:divBdr>
      <w:divsChild>
        <w:div w:id="721170939">
          <w:marLeft w:val="0"/>
          <w:marRight w:val="0"/>
          <w:marTop w:val="0"/>
          <w:marBottom w:val="0"/>
          <w:divBdr>
            <w:top w:val="none" w:sz="0" w:space="0" w:color="auto"/>
            <w:left w:val="none" w:sz="0" w:space="0" w:color="auto"/>
            <w:bottom w:val="none" w:sz="0" w:space="0" w:color="auto"/>
            <w:right w:val="none" w:sz="0" w:space="0" w:color="auto"/>
          </w:divBdr>
          <w:divsChild>
            <w:div w:id="167062012">
              <w:marLeft w:val="0"/>
              <w:marRight w:val="0"/>
              <w:marTop w:val="0"/>
              <w:marBottom w:val="0"/>
              <w:divBdr>
                <w:top w:val="none" w:sz="0" w:space="0" w:color="auto"/>
                <w:left w:val="none" w:sz="0" w:space="0" w:color="auto"/>
                <w:bottom w:val="none" w:sz="0" w:space="0" w:color="auto"/>
                <w:right w:val="none" w:sz="0" w:space="0" w:color="auto"/>
              </w:divBdr>
              <w:divsChild>
                <w:div w:id="353965741">
                  <w:marLeft w:val="-225"/>
                  <w:marRight w:val="-225"/>
                  <w:marTop w:val="0"/>
                  <w:marBottom w:val="0"/>
                  <w:divBdr>
                    <w:top w:val="none" w:sz="0" w:space="0" w:color="auto"/>
                    <w:left w:val="none" w:sz="0" w:space="0" w:color="auto"/>
                    <w:bottom w:val="none" w:sz="0" w:space="0" w:color="auto"/>
                    <w:right w:val="none" w:sz="0" w:space="0" w:color="auto"/>
                  </w:divBdr>
                  <w:divsChild>
                    <w:div w:id="237568037">
                      <w:marLeft w:val="0"/>
                      <w:marRight w:val="0"/>
                      <w:marTop w:val="0"/>
                      <w:marBottom w:val="0"/>
                      <w:divBdr>
                        <w:top w:val="none" w:sz="0" w:space="0" w:color="auto"/>
                        <w:left w:val="none" w:sz="0" w:space="0" w:color="auto"/>
                        <w:bottom w:val="none" w:sz="0" w:space="0" w:color="auto"/>
                        <w:right w:val="none" w:sz="0" w:space="0" w:color="auto"/>
                      </w:divBdr>
                      <w:divsChild>
                        <w:div w:id="177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to.gov.au/Super/Self-managed-super-funds/In-detail/News/Non-arm-s-length-limited-recourse-borrowing-arrang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Figot</dc:creator>
  <cp:keywords/>
  <dc:description/>
  <cp:lastModifiedBy>Bryce Figot</cp:lastModifiedBy>
  <cp:revision>38</cp:revision>
  <cp:lastPrinted>2016-04-17T22:58:00Z</cp:lastPrinted>
  <dcterms:created xsi:type="dcterms:W3CDTF">2016-04-17T22:03:00Z</dcterms:created>
  <dcterms:modified xsi:type="dcterms:W3CDTF">2016-04-18T03:39:00Z</dcterms:modified>
</cp:coreProperties>
</file>